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«ХимИнвест» обратилось в Арбитражный суд города Москвы с иском к обществу с ограниченной ответственностью «Борисхоф 1» о замене транспортного средства и взыскании 1 836 673 рублей 52 копеек убытков. К участию в деле в качестве третьих лиц, не заявляющих самостоятельных требовнаий относительно предмета спора, привлечены общества с ограниченной ответственностью «БМВ Русланд»; «РЕСО-Лизинг»; «СБСВ-КЛЮЧАВТО БАВАРИЯ». Решением Арбитражного суда города Москвы от 17.12.2020 в удовлетворении иска отказано. Общество с ограниченной ответственностью «Борисхоф 1» обратилось в Арбитражный суд города Москвы с заявлением о взыскании 220 000 рублей судебных расходов, понесенных в связи с рассмотрением дела. Определением Арбитражного суда города Москвы от 21.04.2021 заявление о взыскании судебных расходов удовлетворено. 2 Постановлением Девятого арбитражного апелляционного суда от 22.07.2021 определение суда первой инстанции оставлено без изменения. Арбитражный суд Московского округа постановлением от 21.09.2021 указанные судебные акты оставил без изменения. Общество с ограниченной ответственностью «ХимИнвест» обратилось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суды учли характер спора, степень сложности дела и продолжительность его рассмотрения, объем фактически оказанных услуг, критерии разумности и справедливости, баланс интересов сторон, отсутствие доказательств чрезмерности судебных расходов и признали обоснованными, разумными и подлежащими взысканию судебные расходы в заявленной сумме. При принятии судебных актов суды руководствовались положениями статей 101, 106, 110 Арбитражного процессуального кодекса Российской Федерации,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правовыми позициями Президиума Высшего Арбитражного Суда Российской Федерации, изложенными в информационных письмах от 13.08.2004 № 82 «О некоторых вопросах применения Арбитражного процессуального кодекса Российской Федерации» 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«ХимИнвест»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