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20.02.2021, оставленным без изменения постановлением Третьего арбитражного апелляционного суда от 09.06.2021 и постановлением Арбитражного суда Восточно-Сибирского округа от 01.09.2021, взыскано 219 000 рублей штрафа. В кассационной жалобе общество «ЛесНиК» просит об отмене судебных актов, ссылаясь на вину третьего лица в простое вагонов, неверное исчисление срока нахождения вагонов под погрузкой, неправомерный отказ в уменьшении неустойки.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истцом применяется договорный штраф за нарушение согласованного срока погрузки (выгрузки) вагонов заказчиком (ответчиком), его грузоотправителями или указанными заказчиком лицами. Следовательно, суды правомерно указали, что за весь период просрочки отвечает заказчик. Правоотношения между истцом и третьим лицом не являются предметом рассматриваемого иска, поэтому не исследовались судами. Решение по заявлению о применении статьи 333 Гражданского кодекса Российской Федерации принято судами применительно к критериям этой нормы.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«ЛесНиК»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