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19.02.2021, оставленным без изменения постановлением Тринадцатого арбитражного апелляционного суда от 11.05.2021, в удовлетворении заявленных требований отказано. 2 Постановлением Арбитражного суда Северо-Западного округа от 25.08.2021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обжалуемые судебные акты отменить, ссылаясь на допущенные, по его мнению, существенные нарушения норм материального и процессуального права. Исходя из доводов жалобы и принятых по делу судебных актов таких оснований не установлено. Как следует из судебных актов, на арендуемом обществом земельном участке размещен принадлежащий ему на праве собственности сборно- разборный павильон, часть площади которого сдана в аренду для оказания ритуальных услуг; данный земельный участок расположен в пределах земель населенных пунктов, имеет вид разрешенного использования - для размещения объектов транспорта (под предприятия автосервиса). Частью 1 статьи 8.8 Кодекса Российской Федерации об административных правонарушениях предусмотрена ответственность за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статьи. Оценив представленные доказательства, руководствуясь положениями статей 1, 7, 42 Земельного кодекса Российской Федерации, статьи 30 Градостроительного кодекса Российской Федерации, суды пришли к выводу о наличии в действиях общества события правонарушения, ответственность за которое предусмотрена частью 1 статьи 8.8 Кодекса Российской Федерации об административных правонарушениях, установив, что общество использует земельный участок не в соответствии с учтенным в отношении него видом разрешенного использования и условиями договора (в редакции дополнительного соглашения от 29.01.2020 № 2). 3 Процедура и срок давности привлечения к административной ответственности соблюдены. Оснований для освобождения от административной ответственности ввиду малозначительности допущенного правонарушения суды не установили. Доводы жалобы были предметом исследования судов и получили исчерпывающую правовую оценку с учетом установленных вспомогательных видов деятельности по отношению к виду разрешенного использования, не согласиться с которой по доводам жалобы оснований не имеется. Ссылка на выводы судов в рамках иного арбитражного дела подлежит отклонению, поскольку в рамках гражданско-правовых отношений сам по себе факт нарушения условий договора аренды признан недостаточным в целях прекращения правоотношений, в том числе, в отсутствие доказательств неустранения нарушений арендатором.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