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18.10.2021 подал в Верховный Суд Российской Федерации кассационную жалобу, в том числе на указанный судебный акт, одновременно заявив ходатайство о восстановлении пропущенного срока на ее подачу. В соответствии с частями 1,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Общество, извещенное о времени и месте судебного разбирательства, обратилось в Верховный Суд Российской Федерации с кассационной жалобой на постановление суда округа, пропустив предельно допустимый шестимесячный срок подачи кассационной жалобы на указанный судебный акт. Данный срок является пресекательным и восстановлению не подлежит. При таком положении в удовлетворении ходатайства о восстановлении пропущенного процессуального срока на подачу кассационной жалобы на указанное постановление суда округа следует отказать, а жалобу в этой части возвратить заявителю на основании пункта 3 части 1 статьи 291.5 АПК РФ . Руководствуясь статьями 291.2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«Сириус» о восстановлении пропущенного срока на подачу кассационной жалобы на постановление Арбитражного суда Восточно-Сибирского округа от 28.07.2020 по делу № А58-12965/2018 отказать, кассационную жалобу в указанной части возвратить заявителю. Судья Верховного Суда Российской Федерации Н.С. 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