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Орловской области от 18.11.2020, оставленным без изменения постановлением Девятнадцатого арбитражного апелляционного суда от 11.03.2021, иск удовлетворен. Арбитражный суд Поволжского округа определением от 23.07.2021, оставленным без изменения определением от 02.09.2021, возвратил кассационную жалобу ответчика в связи с пропуском срока ее подачи и отказом в восстановлении срока. В кассационной жалобе Бондарев А.Е. просит об отмене судебных актов. Кассационная жалоба в части пересмотра решения от 18.11.2020 и постановления от 11.03.2021 подана с нарушением установленной пунктом 1 части 2 статьи 291.1 Арбитражного процессуального кодекса Российской Федерации подсудности, поэтому не подлежит рассмотрению по существу.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для пересмотра определений от 23.07.2021 и от 02.09.2021 в связи с доводами жалобы не усматривается. Окружной суд установил, что надлежаще оформленная жалоба подана с нарушением срока без объективных причин, в связи с чем отказал в рассмотрении ее по существу в соответствии со статьями 117, 276, 281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Бондареву А.Е.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