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Поволжского округа от 26.05.2021, оставленным без изменения определением того же суда от 18.08.2021, кассационная жалоба Абрамовой Н.В. на постановление Одиннадцатого арбитражного апелляционного суда от 30.12.2020 возвращена в связи с отказом в восстановлении срока на ее подачу. В кассационной жалобе заявитель просит отменить определения окружного суда, ссылаясь на непривлечение ее к участию в споре и ограничение доступа к правосудию.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подачу жалобы не участвовавшей, но осведомленной о рассмотрении спора Абрамовой Н.В., рассмотрение кассационных жалоб на принятые по существу спора судебные акты других участвующих в споре лиц, состоящих с заявителем в родстве и свойстве, поэтому в силу части 2 статьи 117 и пункта 2 части 1 статьи 281 Арбитражного процессуального кодекса Российской Федерации не установил основания для восстановления заявителю срока на обжалование.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Абрамовой Надежде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