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02.03.2021 исковые требования общества удовлетворены частично, с предприятия взыскано 1 196 580 рублей 26 копеек неустойки, в удовлетворении остальной части иска отказано. Встречные исковые требования предприятия удовлетворены частично, с общества взыскано 500 000 рублей штрафа, в удовлетворении остальной части встречного иска отказано. Постановлением Одиннадцатого арбитражного апелляционного суда от 29.04.2021, оставленным без изменения постановлением Арбитражного суда Поволжского округа от 20.08.2021, решение суда первой инстанции в части удовлетворения встречного иска изменено, с общества в пользу предприятия взыскан штраф в размере 100 000 рублей. В остальной части решение суда первой инстанции оставлено без изменения. В кассационной жалобе, поданной в Верховный Суд Российской Федерации, предприятие просит отменить принятые по делу судебные акты, ссылаясь на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Исковые требования общества мотивированы ненадлежащим исполнением предприятием обязательств по оплате выполненных работ по договорам от 23.11.2017 № 5-1321 и от 16.02.2018 № 5-1540. Предприятие, ссылаясь на то, что в нарушение условий договора от 16.02.2018 № 5-1540 общество не исполнило обязательство по предоставлению исполнительно-технической документации по пяти видам работ, за что начислен штраф в размере 500 000 рублей (по 100 000 рублей за каждый факт ненадлежащего исполнения), а также на то, что предприятию причинены убытки, обратилось в арбитражный суд с самостоятельным иском. Оценив представленные в материалы дела доказательства, суд первой инстанции, руководствуясь положениями Гражданского кодекса Российской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принимая во внимание обстоятельства, установленные по результатам рассмотрения дел № А65-39833/2018 и № А65-16136/2019, пришел к выводу о наличии оснований для частичного удовлетворения исковых требований общества и предприятия. Частично удовлетворяя иск общества, суд первой инстанции исходил из ненадлежащего исполнения предприятием обязательств по спорным договорам (нарушение сроков оплаты выполненных работ), при этом произвел перерасчет начисленной неустойки, скорректировав период начисления, и не усмотрел оснований для ее снижения в порядке, предусмотренном статьей 333 Гражданского кодекса. Удовлетворяя встречный иск предприятия в части, суд первой инстанции пришел к выводу о наличии оснований для возложения на общество гражданско-правовой ответственности в виде выплаты штрафа, признав обязательства по передаче спорной исполнительно-технической документации по 5 видам работ неисполненными, не усмотрел оснований для его снижения по статье 333 Гражданского кодекса, а также для взыскания заявленных убытков. Изменяя решение суда первой инстанции в части удовлетворения встречного иска, суд апелляционной инстанции принял во внимание буквальное толкование условий пункта 2.16 договора во взаимосвязи с пунктом 7.5 договора, в связи с чем указал, что обязанность общества по передаче исполнительной документации возникает в отношении предъявляемого к приемке объема работ. С учетом изложенного, апелляционной суд пришел к выводу о нарушении обществом одного обязательства, не имеющего стоимостного выражения, за которое в соответствии с пунктом 7.5 договора подлежит уплате штраф в размере 100 000 руб. Суд округа поддержал выводы суда апелляционной инстанции. Доводы кассационной жалобы являлись предметом рассмотрения судов и получили надлежащую правовую оценку,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города Казани «Дирекция муниципальных жилищных программ»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"КазаньСтройПром", г.Казань (подробнее) Ответчики: МУП города Казани "Дирекция муниципальных жилищных программ", г.Казань (подробнее) Иные лица: МКУ "Управление капитального строительства и реконструкции Исполнительного комитета МО г.Казани" (подробнее) Одиннадцатый Арбитражный апелляционный суд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