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12.01.2021, оставленным без изменения постановлением Девятого арбитражного апелляционного суда от 13.04.2021 и постановлением Арбитражного суда Московского округа от 20.08.2021, в удовлетворении иска отказано в связи с истечением срока исковой давности, о применении которой заявил ответчик, а также недоказанностью оснований для взыскания заявленной суммы. В кассационной жалобе компания просит об отмене судебных актов, ссылаясь на неправильные определение характера спорных правоотношений и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Истечение срока исковой давности является самостоятельным основанием для отказа в иске и не требует обсуждения других оснований (пункт 2 статьи 199 Гражданского кодекса Российской Федерации). Установив, что на момент обращения в арбитражный суд срок исковой давности истек, суды, руководствуясь статьями 199, 200 Гражданского кодекса Российской Федерации, правомерно отказали в удовлетворении иска, указав при этом и мотивы, в связи с которыми требование не подлежит удовлетворению по существу.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МАННА КОММЕРС ЛИМИТЕД (MANNA COMMERCE LIMITED)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