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25.05.2021, оставленным без изменения постановлением Девятого арбитражного апелляционного суда от 03.08.2021, в удовлетворении требования отказано. Постановлением Арбитражного суда Московского округа от 11.10.2021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При изучении доводов жалобы и принятых по делу судебных актов оснований для удовлетворения жалобы не установлено. Согласно части 1 статьи 14.44 Кодекса Российской Федерации об административных правонарушениях недостоверное декларирование соответствия продукции влечет административную ответственность. Оценив представленные доказательства, руководствуясь положениями Технического регламента Таможенного союза ТР ТС 015/2011 «О безопасности зерна», Федерального закона от 27.12.2002 № 184-ФЗ «О техническом регулировании», суды пришли к выводу о наличии в действиях общества состава правонарушения, ответственность за совершение которого предусмотрена частью 1 статьи 14.44 Кодекса Российской Федерации об 3 административных правонарушениях, установив факт недостоверного декларирования соответствия продукции. Вина общества в совершении правонарушения установлена. Процедура и срок давности привлечения к ответственности соблюдены. Оснований для признания правонарушения малозначительным не установлено. Доводы жалобы были предметом исследования судов и получили исчерпывающую правовую оценку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