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16.03.2021, оставленным без изменения постановлением Девятого арбитражного апелляционного суда от 10.06.2021 и постановлением Арбитражного суда Московского округа от 01.10.2021, иск удовлетворен. В кассационной жалобе общество «Прогресс Энжин» просит об отмене судебных актов, ссылаясь на повлиявшую на нарушение срока выполнения работ просрочку истца, необоснованное начисление неустойки на всю сумму выполненных работ и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ответственности, устанавливаются судами, рассматривающими дело в качестве суда первой инстанции. Суды, установив договорный характер взыскиваемой неустойки, наступление условий для ее начисления и соразмерность последствиям нарушения (исполнителем (ответчиком) срока сдачи работ заказчику, удовлетворили иск в соответствии с договором от 24.05.2019 № 01/05/2019, обстоятельствами его исполнения и статьями 421, 333, 702, 708 Гражданского кодекса Российской Федерации. Иная оценка заявителем исполнения обязательств и его последствий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 Энжин»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