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25.12.2020, оставленным без изменения постановлениями Первого арбитражного апелляционного суда от 21.04.2021 и Арбитражного суда Волго-Вятского округа от 08.09.2021, в удовлетворении заявления отказано. 2 В кассационной жалобе банк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компания являлась владельцем лицензии ОРБ № 13423 НР на пользование недрами (выдана 27.12.2005) с целевым назначением и видами работ геологическое изучение, разведка и добыча углеводородного сырья на Майорской площади, в пределах участка, расположенного в Оренбургской области, Сакмарский район и Оренбургский район, Оренбургская область, Майорская площадь, сроком действия до 07.03.2018. По результатам рассмотрения заявки общества на переоформление указанной лицензии в связи с учреждением нового юридического лица, созданного для продолжения деятельности в соответствии с лицензией, департаментом издан оспариваемый приказ о переоформлении лицензии ОРБ № 13423 НР. Исследовав и оценив представленные в материалы дела доказательства, руководствуясь положениями статей 11, 17.1 Закона Российской Федерации от 21.02.1992 № 2395-1 «О недрах» (далее – Закон о недрах), Федерального закона от 26.10.2002 № 127-ФЗ «О несостоятельности (банкротстве)», Административным регламентом Федерального агентства по недропользованию по исполнению государственных функций по осуществлению выдачи, оформления и регистрации лицензий на пользование недрами, внесения изменений и дополнений в лицензии на пользование участками недр, а также переоформления лицензий и принятия, в том числе по представлению Федеральной службы по надзору в сфере природопользования и иных уполномоченных органов, решений о досрочном прекращении, приостановлении и ограничении права пользования участками недр, утвержденным приказом Министерства природных ресурсов и экологии Российской Федерации от 29.09.2009 № 315, суды пришли к выводу об отсутствии правовых оснований для удовлетворения заявленных требований. 3 Судебные инстанции исходили из того, что предусмотренные законодательством о недрах административные процедуры, связанные с переоформлением лицензии, выполнены департаментом в установленном порядке, процедура рассмотрения заявки общества не нарушена, заявка в полной мере соответствовала требованиям закона. Ссылка на то, что судами не дана оценка всем доводам банка, подлежит отклонению как несостоятельная, поскольку неотражение в судебном акте всех имеющихся в деле доказательств либо доводов стороны, не свидетельствует об отсутствии их надлежащей судебной проверки и оценки.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«Югра» в лице конкурсного управляющего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