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ФИО2 30.06.2020 обратился в Арбитражный суд Нижегородской области с заявлением о признании его несостоятельным (банкротом). Определением от 23.07.2020 суд возбудил производство по делу о несостоятельности банкротстве должника. ФИО1 06.07.2020 также обратился в Арбитражный суд Нижегородской области с заявлением о признанииФИО2 несостоятельным (банкротом), которое принято к производству определением от 13.07.2020, возбуждено производство по делу. Определением Арбитражного суда Нижегородской области от 24.07.2020 дела объединены в одно производство. Решением Арбитражного суда Нижегородской области от 02.12.2020 гражданин ФИО2 признан несостоятельным (банкротом), применены правила параграфа 4 главы Х Федерального закона от 26.10.2002 № 127-ФЗ «О несостоятельности (банкротстве)» (далее - Закон о банкротстве) при банкротстве умершего должника - ФИО2 Введена процедура реализации имущества гражданина сроком на шесть месяцев, финансовым управляющим утвержден ФИО3. Постановлением Первого арбитражного апелляционного суда от 06.04.2021 решение суда первой инстанции оставлено без изменения. Арбитражный суд Волго-Вятского округа постановлением от 18.06.2021 указанные судебные акты оставил без изменения. ФИО1 обратился в Судебную коллегию Верховного Суда Российской Федерации с кассационной жалобой на принятые судебные акты в части утвержденной кандидатуры финансового управляющего,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Разрешая спор в обжалуемой части, суды руководствовались положениями статьи 10 Гражданского кодекса Российской Федерации, статьями 45 , 213.4 , 213.5 Закона о банкротстве, разъяснениями, изложенными в пунктах 16, 17, 45, 46 постановления Пленума Верховного Суда Российской Федерации от 13.10.2015 № 45 «О некоторых вопросах, связанных с введением в действие процедур, применяемых в делах о несостоятельности (банкротстве) граждан», пункте 7 постановления Пленума Высшего Арбитражного Суда Российской Федерации от 22.06.2012 № 35 «О некоторых процессуальных вопросах, связанных с рассмотрением дел о банкротстве», и исходили из того, что кандидатура, представленная саморегулируемой организацией арбитражных управляющих, соответствует требованиям статей 20 , 20.2 Закона о банкротстве, заинтересованность и аффилированность этого лица по отношению к должнику не доказаны, конкурсный кредитор, уполномоченный орган, должник при подаче заявления о признании гражданина банкротом не наделены правом выбора конкретной кандидатуры финансового управляющего. Злоупотребление правом в действиях должника, прекратившего статус индивидуального предпринимателя, при подаче заявления о собственном банкротстве судами не установлено, изменение статуса должника не повлияло на право кредитора обратиться с заявлением о признании должника банкротом. Нарушение очередности приема заявлений о признании должника несостоятельным (банкротом) судом первой инстанции не допущено. Доводы, изложенные заявителем в кассационной жалобе, приводились в судах, были рассмотрены судами и им дана надлежащая оценка. Эти доводы, с учетом установленных судами фактических обстоятельств,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Иные лица: 14 ААС (подробнее) Администрация Городецкого муниципального р-на (подробнее) Арбитражный суд Нижегородской области (подробнее) Городецкий районный суд НО (судье Пеговой Ю.А.) (подробнее) ГУ МВД по Нижегородской области (подробнее) крылова д.м. в лице закон предст Крыловой Л.М. (подробнее) крылова д.м. в лице закон предст Крыловой Л.О. (подробнее) Межрайонной инспекции Федеральной налоговой службы №5 по Нижегородской области (подробнее) Нижегородская областная нотариальная палата (подробнее) НП Ассоциация СО АУ "Центральное агентство арбитражных управляющих" (подробнее) ООО Норма 52 (подробнее) ООО Проэксперт (подробнее) Отдел адресно-справочной работы (подробнее) ОТДЕЛЕНИЕ ПЕНСИОННОГО ФОНДА ПО НИЖЕГОРОДСКОЙ ОБЛАСТИ (подробнее) ПЕРВЫЙ АРБИТРАЖНЫЙ АПЕЛЛЯЦИОННЫЙ СУД (подробнее) Специлизированный отдел (подробнее) Управление Росреестра (подробнее) Управление Федеральной службы судебных приставов по Нижегородской области (подробнее) ф/у осипов Борис Сергеевич (подробнее) Судебная практика по: Злоупотребление правом Судебная практика по применению нормы ст. 10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