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Калужской области от 23.10.2020, оставленным без изменения постановлением Двадцатого арбитражного апелляционного суда от 26.01.2021 и постановлением Арбитражного суда Центрального округа от 17.08.2021, брачный договор от 11.09.2018 признан недействительным, восстановлен режим общей совместной собственности супругов в отношении квартиры, расположенной по адресу: г. Обнинск, ул. Любого, д. 8, кв. 127, и режим общей долевой собственности (по ½ доли каждого) в отношении квартиры, расположенной по адресу: г. Обнинск, ул. Комсомольская, д. 5, кв. 31. В кассационной жалобе Малков М.Р. просит отменить принятые судебные акты, ссылаясь на несоответствие выводов судов обстоятельствам спора и нарушения в применении норм материального права.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целью заключения брачного договора является недопущение обращения взыскания на имущество по требованиям кредиторов, что в силу статьи 61.2 Федерального закона от 26.10.2002 № 127-ФЗ «О несостоятельности (банкротстве)» статей 10, 168 Гражданского кодекса Российской Федерации составляет условия для недействительности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Малкову М.Р.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