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09.11.2020, оставленным без изменения постановлением Девятого арбитражного апелляционного суда от 24.03.2021 и постановлением Арбитражного суда Московского округа от 19.08.2021,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банка (покупатель) мотивированы поставкой обществом (поставщик) несоответствующего условиям спорного договора товара.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ответчиком товара ненадлежащего качества и отсутствие доказательств его замены, руководствуясь статьями 309, 310, 421, 431, 475, 476, 506, 518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«АйТи Сити»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