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15.02.2021, в удовлетворении заявления отказано. 2 Постановлением Пятнадцатого арбитражного апелляционного суда от 23.06.2021 решение суда от 15.02.2021 изменено, резолютивная часть дополнена абзацем относительно возврата колхозу 3 000 рублей государственной пошлины, перечисленной по платежному поручению от 03.08.2020 № 1950. В остальной части решение суда от 15.02.2021 оставлено без изменения. Арбитражный суд Северо-Кавказского округа постановлением от 17.09.2021 отменил решение суда первой инстанции и постановление суда апелляционной инстанции, удовлетворив заявленные требования. Управление обратилось в Верховный Суд Российской Федерации с кассационной жалобой на указанное постановление суда округа в которой просит его отменить, ссылаясь на его незаконность и необоснованность.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30.07.2020 № 39 колхоз привлечен к административной ответственности, предусмотренной частью 1 статьи 8.8 КоАП РФ, с назначением наказания в виде административного штрафа в размере 100 000 рублей. 3 Не согласившись с указанным постановлением административного органа, общество оспорило его в арбитражном суде. Суды первой и апелляционной инстанций, признав доказанным наличие в действиях колхоза состава административного правонарушения, ответственность за которое установлена частью 1 статьи 8.8 КоАП РФ, пришли к выводу о правомерности привлечения колхоза к указанной административной ответственности и отказали колхозу в удовлетворении заявления. Принимая во внимание установленные судами первой и апелляционной инстанций обстоятельства, связанные с вменяемым колхозу правонарушением, которое было совершено 12.05.2020, суд округа пришел к выводу об истечении срока давности привлечения общества к административной ответственности на момент вынесения административным органом оспариваемого постановления. Действуя в пределах полномочий, предусмотренных Арбитражным процессуальным кодексом Российской Федерации, суд округа отменил решение суда первой инстанции и постановление суда апелляционной инстанции и признал незаконным оспариваемое постановление административного органа. Доводы административного органа выводы суда не опровергают, направлены на иное толкование положений действующего законодательства, не свидетельствуют о существенных нарушениях судом округа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Ссылки заявителя на наличие иной судебной практики отклоняются, поскольку противоречат правовой позиции Верховного Суда Российской Федерации, изложенной в определении от 26.09.2017 № 307-АД17-6188. Таким образом, основания для передачи жалобы административного органа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4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