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16.02.2021, оставленным без изменения постановлением Седьмого арбитражного апелляционного суда от 17.05.2021 и постановлением Арбитражного суда Западно-Сибирского округа от 19.08.2021,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причиной технологической неисправности в процессе эксплуатации вагонов, повлекшей расходы компании на ремонт, явилось наличие однотипных неисправностей 96 вагонов при их производстве обществом, выявленных в период гарантийного срока, учитывая недоказанность обществом эксплуатационного характера выявленных дефектов, для устранения которых спорные вагоны компании направлены в текущий отцепочный ремонт, проверив расчет понесенных компанией расходов на устранение недостатков вагонов, руководствуясь статьями 12, 15, 393, 475, 477, 506 Гражданского кодекса Российской Федерации, суды первой и апелляционной инстанций пришли к выводу о доказанности истцом совокупности условий, необходимых для взыскания с ответчика убытков, в связи с чем удовлетворили заявленные требования. Суд округа согласился с выводами судов первой и апелляционной инстанций.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«Алтайвагон»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