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18.12.2020, оставленным без изменения постановлением Девятого арбитражного апелляционного суда от 01.04.2021 и постановлением Арбитражного суда Московского округа от 19.08.2021, первоначальный иск удовлетворен, в удовлетворении встречного иска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в части удовлетворения первоначального иска и направить дело на новое рассмотрение в суд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в рамках спорного договора обществом проведен средний ремонт вместо текущего ремонта колесных пар, при этом доказательства необходимости проведения такого ремонта отсутствуют, руководствуясь статьями 15, 393, 702, 721 Гражданского кодекса Российской Федерации, суды первой и апелляционной инстанций пришли к выводу о доказанности компанией совокупности условий, необходимых для взыскания с общества убытков, в связи с чем удовлетворили заявленные требования. Суд округа согласился с выводами судов первой и апелляционной инстанций.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«Вагонно-колесная мастерская»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