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01.03.2021 в удовлетворении заявленного требования отказано. 2 Постановлением Первого арбитражного апелляционного суда от 27.05.2021 решение суда отменено, общество привлечено к административной ответственности по части 2 статьи 14.57 Кодекса Российской Федерации об административных правонарушениях и ему назначено административное наказание в виде штрафа в размере 500 000 рублей. Постановлением Арбитражного суда Волго-Вятского округа от 28.09.2021 постановление суда апелляционной инстанции оставлено без изменения. В жалобе общество просит отменить судебные акты судов апелляционной и кассационной инстанций, ссылаясь на нарушение его прав и законных интересов в результате допущенных судами существенных нарушений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послужили выводы управления о том, что общество (включенное в государственный реестр юридических лиц, осуществляющих деятельность по возврату просроченной задолженности в качестве основного вида деятельности) осуществляло взаимодействие, направленное на возврат просроченной задолженности, с должником посредством телефонных переговоров и смс-сообщений в нарушение требований пункта 2 части 4 и части 6 статьи 7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не указывая информацию о кредиторе. Частью 1 статьи 14.57 КоАП РФ установлена административная ответственность за совершение кредитором или лицом, действующим от его 3 имени и (или) в его интересах (за исключением кредитных организаций), действий,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задолженности, за исключением случаев, предусмотренных частью 2 настоящей статьи. Частью 2 указанной статьи предусмотрена ответственность за нарушение, предусмотренное частью 1 настоящей статьи, совершенное юридическим лицом, включенным в государственный реестр юридических лиц, осуществляющих деятельность по возврату просроченной задолженности в качестве основного вида деятельности. Оценив представленные доказательства, руководствуясь положениями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 апелляционной инстанции пришел к выводу о наличии в действиях общества состава правонарушения, ответственность за которое предусмотрена частью 2 статьи 14.57 КоАП РФ, с чем согласился суд округа. Доводы общества относительно допущенных управлением нарушений законодательства при сборе доказательств были предметом исследования судов апелляционной и кассационной инстанций и отклонены по мотивам, подробно изложенным в соответствующих судебных актах. Иные доводы по существу сводятся к несогласию общества с установленными судами фактическими обстоятельствами дела, имеющими существенное значение для разрешения спора, и исследованными доказательствами, которым дана надлежащая правовая оценка в оспариваемых судебных актах.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