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26.06.2020, оставленным без изменения постановлением Девятнадцатого арбитражного апелляционного суда от 17.03.2021, предприниматель привлечена к административной ответственности по части 2 статьи 14.43 Кодекса 2 Российской Федерации об административных правонарушениях и ей назначено наказание в виде административного штрафа в размере 30 000 рублей. Постановлением Арбитражного суда Центрального августа от 18.08.2021 указанные судебные акты оставлены без изменения. Предприниматель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2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если такие действия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создали угрозу причинения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Федерального закона от 02.01.2000 № 29-ФЗ «О качестве и безопасности пищевых продуктов», Федерального закона от 23.02.2013 № 15-ФЗ «Об охране здоровья граждан от воздействия окружающего табачного дыма и последствий 3 потребления табака», суды пришли к выводу о наличии в действиях предпринимателя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установив факт не соответствия спорной продукции требованиям Технического регламента таможенного союза 021/2011 «О безопасности пищевой продукции» и являющейся запрещенной, что свидетельствует о наличии угрозы жизни и здоровью граждан. Процедура и срок давности привлечения к административной ответственности соблюдены. Назначено наказание в виде штрафа в минимальном размере санкции нормы. Приведенные в жалобе доводы, аналогичные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