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08.12.2020, оставленным без изменения постановлением Восьмого арбитражного апелляционного суда от 06.04.2021 и постановлением Арбитражного суда Западно-Сибирского округа от 19.08.2021,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8, 15 Гражданского кодекса Российской Федерации, статьями 23, 44, 80, 81, 146, 154 – 159, 162, 166, 171, 172 Налогового кодекса Российской Федерации, статьей 9 Федерального закона от 06.12.2011 № 402-ФЗ «О бухгалтерском учете», пришли к выводу об отсутствии оснований для удовлетворения иска, исходя из недоказанности истцом совокупности условий, необходимых для взыскания с ответчика убытков, в частности вины ответчика и причинно-следственной связи между его действиями (бездействием) и наступившими для истца негативными последствиями. Доводы кассационной жалобы сводятся к изложению обстоятельств дела, которые были предметом исследования судов, не опровергают выводы судов, не подтверждают существенных нарушений ими норм материального и (или) процессуального права и не являются основанием для передачи жалобы на рассмотрение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«КПС»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