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Екатеринбургское муниципальное унитарное предприятие «Специализированная автобаза»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«МВМ» (далее – Общество) о взыскании 2 686 384 рублей 31 копейки задолженности по оплате услуг по обращению с ТКО, оказанных в период с января по ноябрь 2019 года (объекты: &lt;...&gt;; &lt;...&gt;; &lt;...&gt;; &lt;...&gt;; &lt;...&gt;) в рамках типового договора на оказание услуг по обращению с твердыми коммунальными отходами, утвержденного постановлением Правительства Российской Федерации от 12.11.2016 № 1156, а также 81 рубля 50 копеек в возмещение судебных издержек (почтовых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«Мусор ЕКБ», индивидуальный предприниматель ФИО1, общество с ограниченной ответственностью «Омега-93». Решением Арбитражного суда Свердловской области от 28.12.2020 требования удовлетворены частично: с ответчика в пользу истца взыскано 192 123 рубля 82 копейки задолженности за оказанные услуги по обращению с твердыми коммунальными отходами за период август-ноябрь 2019 по объекту &lt;...&gt; рубль 50 копеек в возмещение почтовых расходов, а также 2 606 рублей в возмещение расходов по уплате государственной пошлины. В удовлетворении остальной части иска отказано. Постановлением Семнадцатого арбитражного апелляционного суда от 21.04.2021, оставленным без изменения постановлением Арбитражного суда Уральского округа от 28.07.2021, решение от 28.12.2020 в обжалуемой части изменено,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«МВМ». Срок подачи кассационной жалобы на постановление Семнадцатого арбитражного апелляционного суда от 21.04.2021 и постановление Арбитражного суда Уральского округа от 28.07.2021 по делу № А60-20890/2020 Арбитражного суда Свердловской области восстановить. Судья Верховного СудаРоссийской Федерации Н.С. Чучунова Суд: Верховный Суд РФ (подробнее) Истцы: МУП ЕКАТЕРИНБУРГСКОЕ СПЕЦИАЛИЗИРОВАННАЯ АВТОБАЗА (подробнее) Ответчики: ООО МВМ (подробнее) Судьи дела: Чучунова Н.С. (судья) (подробнее) Последние документы по делу: Определение от 20 декабря 2021 г. по делу № А60-20890/2020 Определение от 1 ноября 2021 г. по делу № А60-20890/2020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