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17.05.2019, оставленным без изменения постановлением Четвертого арбитражного апелляционного суда от 12.07.2019 и постановлением Арбитражного суда Восточно-Сибирского округа от 11.09.2019, производство по делу в части взыскания основного долга по договору оказания услуг от 26.07.2016 № 731/Т в размере 645 898 рублей 96 копеек прекращено на основании пункта 2 части 1 статьи 150 Арбитражного процессуального кодекса Российской Федерации. В кассационной жалобе общество «СпецСтройКонтракт» просит об отмене судебных актов, указывая на право самостоятельного определения размера заявленных требований, отличного от заявлявшегося в деле № А19-336/2017 Арбитражного суда Иркутской области.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Правомочие на изменение размера требования истец имеет в пределах рассматриваемого иска (статья 49 Арбитражного процессуального кодекса Российской Федерации). Предъявление нескольких исков об одном и том же предмете ограничивается пунктом 2 части 1 статьи 150 Арбитражного процессуального кодекса Российской Федерации, правильно примененным в настоящем деле.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«СпецСтройКонтракт»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"СпецСтройКонтракт" (подробнее) Ответчики: АО "Иркутскэнерготранс"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