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Свердловской области от 04.02.2021, оставленным без изменения постановлением Семнадцатого арбитражного апелляционного суда от 27.04.2021, в удовлетворении требования отказано. Постановлением Арбитражного суда Уральского округа от 23.08.2021 указанные судебные акты оставлены без изменения. Общество просит отменить обжалуемые судебные акты, заявленные требования удовлетворить. Изучив изложенные в жалобе доводы и принятые по делу судебные акты,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 Оценив представленные доказательства, суды признали не подтвержденным обоснованность применения налогоплательщиком нулевой ставки налога на добавленную стоимость, предусмотренной Протоколом о порядке взимания косвенных налогов и механизме контроля за их уплатой при экспорте и импорте товаров, выполнении работ, оказании услуг (Приложение № 18 к Договору о Евразийском экономическом союзе), отказав в удовлетворении заявленных требований.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жалобе не приведено. 3 Чем нарушены права общества и какой защите они подлежат при установленных судами обстоятельствах возложения вступившим в законную силу судебным актом на контрагента обязанности по возмещению обществу убытков, понесенных в связи с неисполнением обязанности по предоставлению документов, в жалобе не указано. При установленных обстоятельствах доводы жалобы не являются достаточными в целях передачи жалобы для рассмотрения в судебном заседании Судебной коллегии по экономическим спорам Верховного Суда Российской Федерации.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