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17.05.2021, оставленным без изменения постановлением Пятнадцатого арбитражного апелляционного суда от 14.07.2021 и постановлением Арбитражного суда Северо-Кавказского округа от 28.09.2021, заявление удовлетворено. В кассационной жалобе компания просит об отмене судебных актов, ссылаясь на покрытие последствий выбытия имущества из конкурсной массы предпринимательским риском.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 для ответственности финансового управляющего за выбытие транспортных средств из конкурсной массы должника, необходимые в силу статей 15, 1064 Гражданского кодекса Российской Федерации и статьи 20.3 Федерального закона от 26.10.2002 № 127-ФЗ «О несостоятельности (банкротстве)», установлены судами и не подлежат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