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09.04.2021, оставленным без изменения постановлением Девятого арбитражного апелляционного суда от 15.06.2021 и постановлением Арбитражного суда Московского округа от 20.08.2021, заявление организации оставлено без рассмотрения. 2 В кассационной жалобе, поданной в Верховный Суд Российской Федерации, Учреждение, ссылаясь на незаконность указанных судебных актов, просит их отменить и направить заявление в суд первой инстанции для рассмотрения по существу.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положениями статей 148, 217, 221 Арбитражного процессуального кодекса Российской Федерации, суд первой инстанции пришел к выводу о наличии оснований для оставления заявления организации без рассмотрения, поскольку ее требования связаны с разрешением спора о праве и не могут быть рассмотрены в порядке особого производства. Суды апелляционной инстанции и округа поддержали выводы суда первой инстанции. Изложенные в жалобе доводы не опровергают выводы судов и не подтверждают существенных нарушений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Небанковская депозитно-кредитная организация Лэнд Кредит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