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29.03.2021, оставленным без изменения постановлением Девятого арбитражного апелляционного суда от 24.05.2021, заявленное требование удовлетворено. Постановлением Арбитражного суда Московского округа от 26.08.2021 судебные акты отменены, дело направлено на новое рассмотрение в Арбитражный суд города Москвы. 2 Общество обратилось в Верховный Суд Российской Федерации с кассационной жалобой, в которой просит постановление суда кассационной инстанции отменить, указывая на нарушение норм материального и процессуального права.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Суд округа отменил решение суда первой инстанции и постановление апелляционного суда,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неполное исследование судами всех значимых для дела обстоятельств, входящих в предмет доказывания, в частности, относительно соблюдения требований к порядку привлечения к административной ответственности.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3 вопросам, представлять доказательства, а также отстаивать свою позицию доступными процессуальными способами при новом рассмотрении дела,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Кроме того, на момент обращения заявителя с настоящей кассационной жалобой судом первой инстанции уже было рассмотрено дело и при новом рассмотрении настоящего дела принято решение от 12.10.2021 об отказе в удовлетворении заявленного требования.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