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«Росагролизинг» обратилось в суд с заявлением о признании недействительными сделками действий по исполнению мировых соглашений, заключенных обществом и должником, и применении последствий недействительности сделок. Определением Арбитражного суда Владимирской области от 17.09.2021 заявление удовлетворено. Постановлением Первого арбитражного апелляционного суда от 21.04.2021, оставленным без изменения постановлением Арбитражного суда Волго-Вятского округа от 01.09.2021, отменено определение суда первой инстанции по безусловным основаниям, заявление удовлетворено в части признания недействительными мировых соглашений, применены последствия недействительности сделок в виде обязания общества вернуть в конкурсную массу должника земельные участки, переданные в рамках исполнения сделок, и взыскания с ответчика в конкурсную массу должника действительную 2 стоимость имущества в общем размере 30 712 433 рубля 10 копеек, отказано в удовлетворении требования о взыскании убытков.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 в отсутствие надлежащих доказательств экономической целесообразности,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3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«СГТекс»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«СГТекс» о приостановлении исполнения постановления Первого арбитражного апелляционного суда от 21.04.2021 по делу № А11-10386/2015 Арбитражного суда Владимирской области, оставленного без изменения постановлением Арбитражного суда Волго-Вятского округа от 01.09.2021 по тому же делу,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