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Частное охранное предприятие «Вихрь» на основании договора уступки права требования обратилось в Арбитражный суд Сахалинской области с иском о взыскании с муниципального казенного предприятия «Городской водоканал» 7 251 840 рублей задолженности по договору оказания охранных услуг за ноябрь, декабрь 2017 года.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Частное охранное предприятие «Вихрь» (ИНН 6501105291). Решением Арбитражного суда Сахалинской области от 22.07.2020 в удовлетворении иска отказано. Постановлением Пятого арбитражного апелляционного суда от 30.11.2020 решение суда первой инстанции отменено, иск удовлетворен в части взыскания 4 110 240 рублей задолженности и 33 587 рублей судебных 2 расходов по уплате государственной пошлины; в удовлетворении иска в остальной части отказано. Арбитражный суд Дальневосточного округа постановлением от 15.03.2021 постановление суда апелляционной инстанции отменил и направил дело на новое рассмотрение в Пятый арбитражный апелляционный суд. При новом рассмотрении дела постановлением Пятого арбитражного апелляционного суда от 29.04.2021 решение суда первой инстанции оставлено без изменения. Арбитражный суд Дальневосточного округа постановлением от 31.08.2021 принятые по делу судебные акты оставил без изменения. Общество с ограниченной ответственностью Частное охранное предприятие «Вихрь»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69, 71 Арбитражного процессуального кодекса Российской Федерации, руководствуясь положениями статей 779, 781 Гражданского кодекса Российской Федерации, суды пришли к выводу о недоказанности истцом факта оказания охранной организацией в спорный период услуг в предъявленном к оплате объеме, учитывая при этом, что оказание ответчику услуг в объеме, существенно меньшем, чем предусмотрено договором, установлено в порядке уголовного судопроизводства.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3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«Вихрь»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