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16.02.2021, оставленным без изменения постановлением Девятого арбитражного апелляционного суда от 20.04.2021, в иске отказано. 2 Постановлением Арбитражного суда Московского округа от 23.08.2021 указанные судебные акты оставлены без изменения. Министерство обратилось в Верховный Суд Российской Федерации с кассационной жалобой, считая состоявшиеся по делу судебные акты незаконными и необоснованными.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принятые по делу судебные акты,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выявлено. Оценив представленные доказательства, руководствуясь положениями статей 309, 310, 702, 719 Гражданского кодекса Российской Федерации, статей 34, 95 Федерального закона от 05.04.2013 № 44-ФЗ «О контрактной системе в сфере закупок товаров, работ, услуг для обеспечения государственных и муниципальных нужд», суды в иске отказали, признав недоказанным наличие вины общества в ненадлежащем исполнении обязательств. Доводы жалобы были предметом исследования судов и получили исчерпывающую правовую оценку, не согласиться с которой по доводам жалобы оснований не имеется. 3 Ссылка в жалобе на иное дело не может служить основанием для отмены судебных актов, поскольку положения статьи 69 Арбитражного процессуального кодекса Российской Федерации касаются вопроса освобождения от доказывания в рассматриваемом случае обстоятельств, связанных с фактом невыполнения обществом работ по контракту в полном объеме и в установленный срок. Противоположных выводов по указанным обстоятельствам судами не сделано. При этом основанием для отказа в иске обществу по приведенному в жалобе делу являлись выводы судов о том, что удовлетворение требования общества о признании недействительным одностороннего отказа министерства от исполнения контракта не позволяет восстановить нарушенные права и не изменяет сложившуюся правовую ситуацию, поскольку работы по контракту уже выполнены иным лицом и продолжение выполнения работ не требуется.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