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ненадлежащее исполнение конкурсным управляющим должником Добрыниной Еленой Юрьевной возложенных на неё обязанностей, ходатайствуя об отстранении последней от исполнения обязанностей. Определением Арбитражного суда города Москвы от 16.03.2021, оставленным без изменения постановлениями Девятого арбитражного апелляционного суда от 15.06.2021 и Арбитражного суда Московского округа от 23.08.2021, отказано в удовлетворении заявления. В кассационной жалобе, поданной в Верховный Суд Российской Федерации, заявитель просят отменить названное постановление суда округа,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судебные акты без изменения, суд округа, руководствуясь положениями статей 20.3 и 129 Федерального закона от 26.10.2002 № 127-ФЗ «О несостоятельности (банкротстве)», согласился с выводами судов первой и апелляционной инстанций об отсутствии оснований для удовлетворения заявления ввиду недоказанности наличия в указанных действиях (бездействии) Добрыниной Е.Ю. вменяемых ей нарушений законодательства о несостоятельности.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«Всероссийский научно-исследовательский, проектно-конструкторский и технологический институт релестроения с опытным производством»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