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29.07.2019, оставленным без изменения постановлением Девятого арбитражного апелляционного суда от 15.10.2019, заявление удовлетворено. Постановлением суда округа от 31.01.2020 названные судебные акты отменены, обособленный спор направлен на новое рассмотрение. В кассационной жалобе, поданной в Верховный Суд Российской Федерации, заявитель просит обжалуемое постановление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и отменяя судебные акты судов первой и апелляционной инстанций, суд округа руководствовался положениями статей 10 , 170 , 382 , 384 Гражданского кодекса Российской Федерации, статей 16, 71, 100 Федерального закона от 26.10.2002 № 127-ФЗ «О несостоятельности (банкротстве)» и исходил из того, что судами предшествующих инстанций не был исследован вопрос о реальности дебиторской задолженности, права на получение оплаты за уступку которой были переданы компании. При таких условиях для исправления допущенных нарушений суд округа направил обособленный спор на новое рассмотрение. При новом рассмотрении заявитель не лишен возможности приводить доводы и представлять доказательства в обоснование своей позиции по спору.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Истцы: АО "БМ-Банк" (подробнее) ООО "БИТОЛА" (подробнее) ООО "Губерния" (подробнее) ООО "Импульс" (подробнее) ООО "ИНТЕРНЕТ РЕШЕНИЕ" (подробнее) ООО "МАКС" (подробнее) ООО "РУНО-РЕСУРС" (подробнее) ООО "Трейд-ойл" (подробнее) Ответчики: ООО "Травертино" (подробнее) Иные лица: ООО "Апсис Юг" (подробнее) ООО "БЛиКК" (подробнее) ООО "Резерв" (подробнее) ООО "Содержание Плюс" (подробнее) ООО "Учебные Центры" (подробнее) ООО "Центр финансовой дисциплины" (подробнее) Судьи дела: Букина И.А.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