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08.02.2021, оставленным без изменения постановлением Тринадцатого арбитражного апелляционного суда от 25.05.2021, заявленные требования удовлетворены. Постановлением Арбитражного суда Северо-Западного округа от 04.10.2021 указанные судебные акты отменены, в удовлетворении заявленного требования отказано. В жалобе общество просит постановление суда округа отменить, считая его незаконным и необоснованным, заявленные требования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жалобе не приведено. При установленных обстоятельствах, свидетельствующих, что общество имело возможность подать соответствующую заявку с целью регистрации в ФГИС ВетИС иного уполномоченного лица организации и воспользовалось таким правом незамедлительно, а оператор ФГИС ВетИС произвел такую регистрация в течение одного дня, чем нарушены права общества и какой защите они подлежат, в жалобе не указано. 3 При таких обстоятельствах доводы жалобы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