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«Парэкс»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индивидуального предпринимателя Апурина Николая Андреевича 1 777 500 рублей неосновательного обогащения и 12 453 рублей 84 копеек процентов за пользование чужими денежными средствами, с последующим их начислением по день фактического исполнения обязательства. Решением Арбитражного суда города Москвы от 08.02.2021 в удовлетворении иска отказано. Постановлением Девятого арбитражного апелляционного суда от 28.04.2021 решение суда первой инстанции оставлено без изменения. Арбитражный суд Московского округа постановлением от 19.08.2021 указанные судебные акты оставил без изменения. Общество с ограниченной ответственностью «Парэкс»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выводы эксперта по результатам судебной экспертизы, признав доказанным факт надлежащего оказания услуг по первому и второму этапам, руководствуясь положениями статей 450.1, 779, 782, 1102 Гражданского кодекса Российской Федерации, суды пришли к выводу, что спорная сумма является платой за оказанные услуги и не подлежит возврату истцу. Доводы жалобы о недопустимости принятия в качестве доказательства экспертного заключения по сути сводятся к оспариванию результатов судебной экспертизы,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«Парэкс»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