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«Трансгео» обратилось в Арбитражный суд города Москвы с иском о взыскании с акционерного общества «Вагонная ремонтная компания -1» 1 641 185 рублей 64 копеек убытков. Решением Арбитражного суда города Москвы от 26.01.2021 в удовлетворении иска отказано. Постановлением Девятого арбитражного апелляционного суда от 13.04.2021 решение суда первой инстанции оставлено без изменения. Арбитражный суд Московского округа постановлением от 15.09.2021 указанные судебные акты оставил без изменения. Общество с ограниченной ответственностью «Трансгео»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отсутствие доказательств, подтверждающих нарушение ответчиком договорных обязательств, учитывая, что спорное имущество сохранялось ответчиком до тех пор, пока истец не изъявил желание снять его с хранения, факт хранения подтвержден вступившими в законную силу судебными актами по делам № А45-11232/2019, А45-10117/2019, А45-9770/2019, А45-5084/2019, А45-37855/2017, руководствуясь положениями статей 15, 393, 896, 901, 902 Гражданского кодекса Российской Федерации, суды пришли к выводу об отсутствии оснований для удовлетворения иска. Доводы жалобы были предметом рассмотрения судов, их выводы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«Трансгео»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