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Урманова Романа Александровича общество с ограниченной ответственностью «Электростальконструкция» обратилось в Арбитражный суд Свердловской области с заявлением о включении в реестр требований кредиторов должника задолженности в размере 5 293 058 рублей 62 копеек и процентов по статье 395 Гражданского кодекса Российской Федерации в сумме 458 640 рублей 01 копейки. Определением Арбитражного суда Свердловской области от 06.03.2021 в удовлетворении заявления отказано. Постановлением Семнадцатого арбитражного апелляционного суда от 27.05.2021 определение суда первой инстанции оставлено без изменения. Арбитражный суд Уральского округа постановлением от 24.08.2021 указанные судебные акты оставил без изменения. Общество с ограниченной ответственностью «Электростальконструкция» обратилось в Судебную коллегию Верховного Суда Российской Федерации с 2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71, 100, 142, 213.24 Федерального закона от 26.10.2002 № 127-ФЗ «О несостоятельности (банкротстве)» и исходили из отсутствия надлежащих и достаточных доказательств, свидетельствующих о том, что документы, опосредовавшие перемещение активов внутри группы аффилированных лиц, включая заемные отношения, оформлены в связи с их действительным экономическим смыслом и обусловлены разумными экономическими целями.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«Электростальконструкция»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