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29.03.2021, оставленным без изменения постановлениями Восьмого арбитражного апелляционного суда от 06.07.2021 и Арбитражного суда Западно-Сибирского округа от 07.10.2021,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открытого конкурса в электронной форме на право заключения муниципального контракта на выполнение работ, связанных с осуществлением регулярных перевозок пассажиров и багажа автомобильным транспортом по регулируемым тарифам, в связи с чем учреждением (заказчик) в адрес общества направлен проект контракта. Поскольку заявителем не исполнена обязанность по надлежащему предоставлению обеспечения исполнения обязательства, заказчик обратился в антимонопольный орган с информацией о поставщике, признанном уклонившимся от заключения контракта по итогам открытого конкурса. По результатам рассмотрения представленных сведений антимонопольным органом вынесено решение, которым сведения в отношении общества и его руководителе внесены в реестр недобросовестных поставщиков. Указанные обстоятельства послужили основанием для обращения общества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Гражданского кодекса Российской Федерации, статей 45, 83.2, 96,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об обоснованности решения учреждения о признании заявителя уклонившимся от заключения контракта и о наличии у управления оснований для включения сведений в отношении общества и его руководителя в реестр недобросовестных поставщиков. При этом судебные инстанции исходили из того, что представленная обществом банковская гарантия не соответствовала требованиям законодательства о контрактной системе. 3 Суды указали на неправомерность включения в банковскую гарантию условия о необходимости получения гарантом требования бенефициара до окончания срока гарантии. Изложенные в кассационной жалобе доводы не подтверждают существенных нарушений норм материального и процессуального права, повлиявших на исход дела,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