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Севрюкова Игоря Михайловича определением Арбитражного суда города Москвы от 20.07.2017 включено в третью очередь реестра требований кредиторов должника требование ПАО «Московский кредитный банк» в размере 44 693 704 рублей 38 копеек основного долга и 500 000 рублей штрафных санкций. Общество с ограниченной ответственностью «Стройпроект» обратилось в суд с заявлением об исключении требования ПАО «Московский кредитный банк» из реестра требований кредиторов должника. Определением Арбитражного суда города Москвы от 12.02.2021 в удовлетворении заявления отказано. Постановлением Девятого арбитражного апелляционного суда от 26.04.2021 определение суда первой инстанции оставлено без изменения. Арбитражный суд Московского округа постановлением от 27.08.2021 указанные судебные акты оставил без изменения. Общество с ограниченной ответственностью «Стройпроект»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16 Арбитражного процессуального кодекса Российской Федерации, статьи 16 Федерального закона от 26.10.2002 № 127-ФЗ «О несостоятельности (банкротстве)» и исходили из того, что заявление об исключении ранее включенного в реестр требования, по сути, направлено на оспаривание судебного акта, на основании которого требование конкурсного кредитора было включено в реестр требований кредиторов должника, что недопустимо.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