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«Бостон консалтинг груп»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акционерного общества «Желдорреммаш» 89 670 000 рублей задолженности по договору от 16.11.2015 об оказании консультационных услуг и 37 661 400 рублей неустойки, с последующим ее начислением по день фактического исполнения судебного решения. Судом принят встречный иск акционерного общества «Желдорреммаш» к обществу с ограниченной ответственностью «Бостон консалтинг груп» о взыскании 298 016 568 рублей неосновательного обогащения. Решением Арбитражного суда города Москвы от 02.12.2020 первоначальный иск удовлетворен, в удовлетворении встречного иска отказано. Постановлением Девятого арбитражного апелляционного суда от 04.06.2021 решение суда первой инстанции оставлено без изменения. Арбитражный суд Московского округа постановлением от 31.08.2021 указанные судебные акты оставил без изменения. 2 Акционерное общество «Желдорреммаш»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Обществом с ограниченной ответственностью «Бостон консалтинг груп» представлен отзыв на кассационную жалобу, в котором общество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на жалобу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истолковав условия заключенного сторонами договора и дополнительного соглашения к нему в соответствии с положениями статей 421, 431 Гражданского кодекса Российской Федерации, установив факт надлежащего исполнения обществом «Бостон консалтинг груп» обязательств по оказанию услуг и отсутствие доказательств их оплаты, руководствуясь положениями статей 309, 310, 330, 720, 753, 779-783, 1102 Гражданского кодекса Российской Федерации, суды пришли к выводу о наличии оснований для удовлетворения первоначального иска и отсутствии на стороне общества «Бостон консалтинг груп» обязанности по возврату перечисленного аванса. Доводы, изложенные в кассационной жалобе,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3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безусловными основаниями для изменения или отмены судебных актов, не установлено. Довод заявителя о рассмотрении кассационной жалобы в незаконном составе суда подлежит отклонению, поскольку кассационная жалоба определением суда от 21.07.2021 принята к производству судьи Кочергиной Е.В. и рассмотрена составом суда под председательством того же судьи.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«Желдорреммаш»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