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предпринимательства и инновационного развития города Москвы обратился в Арбитражный суд города Москвы с иском о взыскании с некоммерческой организации Фонд развития Центра разработки и коммерциализации новых технологий 4 835 694 рублей 63 копеек процентов за пользование чужими денежными средствами. Решением Арбитражного суда города Москвы от 21.01.2021 в удовлетворении иска отказано. Постановлением Девятого арбитражного апелляционного суда от 01.04.2021 решение суда первой инстанции оставлено без изменения. Арбитражный суд Московского округа постановлением от 23.08.2021 указанные судебные акты оставил без изменения. Департамент предпринимательства и инновационного развития города Москвы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310, 314, 395 Гражданского кодекса Российской Федерации, установив отсутствие неправомерного удержания ответчиком денежных средств с момента их перечисления и своевременный возврат перечисленных средств гранта, суды пришли к выводу об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