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12.11.2020 заявленные требования удовлетворены частично, признаны незаконными действия учреждения, выразившиеся в утверждении документации об электронном аукционе на право заключения государственного контракта на выполнение работ по объекту «Ремонт автомобильных дорог 2 общего пользования регионального и межмуниципального значения в Крестецком и Парфинском муниципальных районах Новгородской области» в части формирования объекта закупки. В удовлетворении остальной части исковых требований отказано. Постановлением Четырнадцатого арбитражного апелляционного суда от 30.04.2021, оставленным без изменения постановлением Арбитражного суда Северо-Западного округа от 03.09.2021, решение суда отменено в удовлетворенной части, в удовлетворении исковых заявлений отказано в полном объеме.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постановления апелляционного суда и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на официальном сайте единой информационной системы в сфере закупок 04.08.2020 размещено извещение № 0150200003920000667 о проведении электронного аукциона на право заключения государственного контракта на выполнение работ по объекту «Ремонт автомобильных дорог общего пользования регионального и межмуниципального значения в Крестецком и Парфинском муниципальных районах Новгородской области». В управление Федеральной антимонопольной службы по Новгородской области (далее - управление, антимонопольный орган) 20.08.2020 поступила жалоба общества на действия заказчика при проведении электронного аукциона, по результатам рассмотрения решением управления от 26.08.2020 № 053/06/33-440/2020 жалоба признана необоснованной. Полагая, что укрупнение заказчиком лота по спорной закупке путем объединения технологически и функционально не связанных между собой работ в разных муниципальных районах Новгородской области исключило возможность их участия в спорной закупке, общества «СитиКом», «СМУ-57», «Благострой» обратились в арбитражный суд. Рассматривая спор, суд первой инстанции пришел к выводу о том, что формирование заказчиком по спорной закупке крупного лота на ремонт дорог, расположенных в различных муниципальных районах Новгородской области, привело к ограничению конкуренции, нарушению доступа хозяйствующих 3 субъектов к соответствующей закупке, искусственному увеличению цены контракта в целях ограничения конкуренции при проведении закупки. Отменяя решение суда и отказывая в удовлетворении требований, суд апелляционной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Федерального закона от 26.07.2006 № 135-ФЗ «О защите конкуренции», учитывая правовую позицию, изложенную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исходил из соответствия конкурсной документации положениям Закона о контрактной системе. Судом установлено, что работы, подлежащие выполнению в рамках государственного контракта связаны единым технологическим процессом, в связи с чем их разделение противоречило бы принципу ответственности за результативность обеспечения государственных и муниципальных нужд, эффективности осуществления закупок, отметив, что формирование рассматриваемой закупки определялось действительной потребностью заказчика и экономической целесообразностью. Суд округа поддержал выводы суда апелляционной инстанции.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Приведенные доводы повторяют позицию общества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«СитиКом»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