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«Газэнергострой» обратилось в Арбитражный суд Нижегородской области с иском о взыскании с общества с ограниченной ответственностью «МДС ЛОГ» 3 010 499 рублей 93 копеек неосновательного обогащения. Решением Арбитражного суда Нижегородской области от 13.10.2020 иск удовлетворен. Судом отклонено ходатайство ФИО1 о вступлении в дело в качестве третьего лица, не заявляющего самостоятельных требований относительно предмета спора, с учетом наличия корпоративных споров с истцом, рассматриваемых в отдельных производствах. Постановлением Первого арбитражного апелляционного суда от 22.12.2020 решение суда первой инстанции оставлено без изменения. Суд апелляционной инстанции пришел к выводу о том, что решение суда первой инстанции не затрагивает права ФИО1 и не возлагает на него какие-либо обязанности, что исключает необходимость привлечения этого лица к участию в деле в качестве третьего лица. Определением Арбитражного суда Волго-Вятского округа от 30.03.2021 производство по кассационной жалобе Лугина А.А. на принятые по делу судебные акты прекращено. Арбитражный суд Волго-Вятского округа определением от 07.06.2021 отменил определение окружного суда от 30.03.2021 и направил кассационную жалобу ФИО1 в окружной суд для рассмотрения по существу. Постановлением Арбитражного суда Волго-Вятского округа от 04.08.2021 принятые по делу судебные акты оставлены без изменения.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статьей 1102 Гражданского кодекса Российской Федерации, суды пришли к выводу о наличии на стороне ответчика неосновательно сбереженных денежных средств в виде перечисленного аванса. Невынесение судом первой инстанции отдельного судебного акта по результатам рассмотрения ходатайства о вступлении в дело в качестве третьего лица не нарушило прав ФИО1, поскольку не препятствовало обжалованию принятого решения в суд апелляционной инстанции. Суд апелляционной инстанции, повторно рассмотрев дело, пришел к выводу, что решением суда первой инстанции права ФИО1 не нарушены, какие-либо обязанности ему не вменены, следовательно, необходимость привлечения этого лица к участию в деле в качестве третьего лица отсутствует.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"Газэнергострой" (подробнее) Ответчики: Общество с ограниченной ответственностью "МДС ЛОГ" (подробнее) Иные лица: Хамовнический районный суд г. Москвы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