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данная кассационная жалоба подана в Верховный Суд Российской Федерации 14.12.2021 с ходатайством о восстановлении срока на обжалование. Заявитель указывает на невозможность своевременной подачи жалобы из-за одновременного правового сопровождения большого количества дел в разных регионах. В силу частей 1, 2 статьи 291.2 Арбитражного процессуального кодекса Российской Федерации срок подачи кассационной жалобы исчисляется со дня вступления в законную силу последнего обжалуемого судебного акта и может быть восстановлен при пропуске его по причинам, не зависящим от лица, обратившегося с такой жалобой. Обозначенная причина не может быть отнесена к объективной, поэтому не влечет восстановления срока. 2 В связи с подачей документов в электронном виде кассационная жалоба и уплаченная за ее подачу государственная пошлина с настоящим определением не возвращаются. Руководствуясь статьей 184, статьей 291.2,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«Татфондбанк» в восстановлении срока подачи кассационной жалобы на определение Арбитражного суда Республики Татарстан от 26.04.2021, постановление Одиннадцатого арбитражного апелляционного суда от 28.06.2021 и постановление Арбитражного суда Поволжского округа от 16.09.2021 по делу № А65-31278/2019. Кассационную жалобу не рассматривать по существу.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