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09.04.2021, оставленным без изменения постановлением Девятнадцатого арбитражного апелляционного суда от 07.07.2021, в удовлетворении заявленного требования отказано. Постановлением Арбитражного суда Центрального округа от 08.10.2021 названные судебные акты оставлены без изменения. В кассационной жалобе, поступившей в Верховный Суд Российской Федерации, предприниматель просит отменить указанные судебные акты,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346.27 , 346.29 Налогового кодекса Российской Федерации, суды отказали в удовлетворении требований, установив наличие у налогового органа правовых оснований для доначисления спорных налогов, и признав доказанным, что арендуемое предпринимателем торговое помещение для целей налогообложения является торговым местом, что исключает применение физического показателя «площадь торгового зала». Приведенные предпринимателем доводы сводятся к изложению обстоятельств дела, которые получили надлежащую правовую оценку суда и мотивированно отклонены, не опровергают, не подтверждают существенных нарушений судом норм материального и (или) процессуального права и не являются достаточным основанием для пересмотра постановления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Межрайонная инспекция Федеральное налоговой службы №8 по Белгородской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