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16.12.2020, оставленным без изменения постановлением Девятого арбитражного апелляционного суда от 11.03.2021, заявленные требования удовлетворены. 2 Постановлением Арбитражного суда Московского округа от 26.08.2021 указанные судебные акты отменены, дело направлено на новое рассмотрение в арбитражный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относительно соблюдения обществом требований пункта 8(5)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3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