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предприниматель обратился в суд с заявлением об установлении в реестре требований кредиторов должника (далее – реестр) требований в размере 90 000 000 рублей. Определением Арбитражного суда Краснодарского края от 12.03.2021, оставленным без изменения постановлениями Пятнадцатого арбитражного апелляционного суда от 08.06.2021 и Арбитражного суда Северо-Кавказского округа от 20.08.2021, требования предпринимателя в размере 78 578 895 рублей включены в третью очередь реестра;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 в полном объёме. Исходя из доводов кассационной жалобы, заявитель не согласен с обжалуемыми судебными актами в части отказа во включении требований.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421, 431, 454, 455, 758 702, 758 Гражданского кодекса Российской Федерации, статьями 71, 100 Федерального закона от 26.10.2002 № 127-ФЗ «О несостоятельности (банкротстве)», исходя из фактических обстоятельств спора, пришли к обоснованному выводу о необходимости частичного удовлетворения заявленных требований, в связи с чем отказали во включении в реестр оспариваемой части денежных средств.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Волченко Юрия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