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Гвоздикова Н.В. обратилась в суд с жалобой, в которой просила признать незаконными действия (бездействие) конкурсного управляющего должником Астахова Дмитрия Владимировича, выразившиеся в не перечислении задолженности по оплате текущих платежей – судебных расходов в размере 33 556 рублей 72 копейки и процентов по вознаграждению Гвоздковой Н.В. в размере 60 000 рублей, исходя из периода возникновения обязанности по их оплате, относящихся к первой очереди удовлетворения. Определением Арбитражного суда Волгоградской области от 21.04.2021, оставленным без изменения постановлениями Двенадцатого арбитражного апелляционного суда от 11.06.2021 и Арбитражного суда Поволжского округа от 25.08.2021,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признании незаконным оспариваемых действий (бездействия) в части не перечисления в её пользу 29 563 рублей транспортных расходов.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2, 20.3, 20.6, 20.7, 59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17.12.2009 № 91 «О порядке погашения расходов по делу о банкротстве», не установив оснований для возмещения арбитражному управляющему транспортных расходов за счёт имущества должника, пришли к выводу об отсутствии оснований для признания незаконным бездействия нового конкурсного управляющего по их не возмещению заявителю. Выводы судов в обжалуемой части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Гвоздковой Наталье Владимировну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