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привлечении ФИО1 к субсидиарной ответственности по обязательствам должника в размере 6 196 687 рублей. Определением Арбитражного суда Свердловской области от 23.03.2021, оставленным без изменения постановлениями Семнадцатого арбитражного апелляционного суда от 15.06.2021 и Арбитражного суда Уральского округа от 27.08.2021,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Свердловской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61.10, 61.11 Федерального закона от 26.10.2002 № 127-ФЗ «О несостоятельности (банкротстве)», пунктами 3,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не установили совокупности условий, необходимой для привлечения ФИО1 к субсидиарной ответственности при недоказанности фактов совершения последним недобросовестных действий и (или) сделок, повлекших за собой банкротство должника.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«Объединённая Компания РУСАЛ – Торговый дом»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"Сибкабель" (подробнее) ЗАО АКЦИОНЕРНОЕ ОБЩЕСТВО ОБЪЕДИНЕННАЯ КОМПАНИЯ РУСАЛ - ТОРГОВЫЙ ДОМ (подробнее) ООО "Компания АВТО ПЛЮС" (подробнее) Ответчики: ООО "Энерготехнологии" (подробнее) Иные лица: АО "Цветлит" (подробнее) Ассоциация Ведущих Арбитражных Управляющих "Достояние" (подробнее) ООО "Алтайский кабельный завод" (подробнее) ООО "ЛЭП-ИНЖИНИРИНГ"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