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Пантелеев А.А. и общество с ограниченной ответственностью «Компания «Уралкам» обратились в суд с заявлениями о признании недействительными сделок по отчуждению должником транспортных средств, и применении последствия недействительности сделок. Кроме того, конкурсный управляющий должником Пантелеев А.А. обратился в суд с заявлением о признании недействительными сделками подписанные между обществом с ограниченной ответственностью «Унимод Групп» (далее – общество) и должником акты взаимозачёта от 31.10.2015 № 823, от 30.06.2016 № 175 и от 10.05.2017 № 25 и применить последствия недействительности сделок. Указанные заявления объединены в одно производство для совместного рассмотрения. Определением Арбитражного суда Челябинской области от 26.02.2021, оставленным без изменения постановлениями Восемнадцатого арбитражного апелляционного суда от 19.05.2021 и Арбитражного суда Уральского округа от 18.08.2021, требования удовлетворены частично, признаны недействительными сделками договоры от 06.10.2015 № 02, 03, 04, 05, 07, 08 2 и 09 и от 31.10.2017, применены последствия недействительности сделок в виде взыскания с общества в пользу должника денежных средств в сумме 8 575 000 рублей. В кассационной жалобе, поданной в Верховный Суд Российской Федерации, заявитель просит отменить названные судебные акты, направить обособленный спор на новое рассмотрение в Арбитражный суд Челябинской области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Разрешая спор, суды, руководствуясь положениями статьи 19, пункта 2 статьи 61.2 и статьи 61.6 Федерального закона от 26.10.2002 № 127-ФЗ «О несостоятельности (банкротстве)», установив совершение оспариваемых сделок с противоправной целью в пределах периода подозрительности при наличии признаков несостоятельности должника заинтересованными лицами в отсутствие надлежащих доказательств реальности встречного исполнения, пришли к выводу об обоснованности заявления, указав на следствие сделки – причинение вреда имущественным правам кредиторов должника, правомерно применив последствия недействительности. Выводы судов соответствуют нормам права, оснований для переоценки выводов судов не имеется. Нарушений норм материального права, а также норм процессуального права, влекущих за собой безусловную отмену указанных судебных актов, судами не допущено.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Шпаковой Ирине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