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Хрисаненков Владлен Леонидович обратился в суд с заявлением об изменении способа исполнения определения Арбитражного суда города Москвы от 22.03.2017 в виде взыскания с общества в пользу должника 5 650 000 рублей. Определением Арбитражного суда города Москвы от 28.10.2020 заявление удовлетворено. Постановлением Девятого арбитражного апелляционного суда от 20.05.2021 названное определение суда первой инстанции отменено по безусловным основаниям; заявление рассмотрено по правилам, установленным для рассмотрения дела в суде первой инстанции, в удовлетворении заявления отказано. Постановлением Арбитражного суда Московского округа от 25.08.2021 отменено постановление апелляционного суда, обособленный спор направлен на новое рассмотрение в Девятый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суд округа, руководствуясь статьями 15, 168, 327 Арбитражного процессуального кодекса Российской Федерации, статьёй 37 Федерального закона от 02.10.2007 № 229-ФЗ «Об исполнительном производстве», исходил из того, что оно принято с нарушением норм процессуального права, в связи с чем, направил обособленный спор по заявлению конкурсного управляющего на новое рассмотрение в апелляционный суд.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«Автотекс»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