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Гущин С.Г. обратился в суд с жалобой на действия (бездействие) конкурсного управляющего должником государственной корпорации «Агентство по страхованию вкладов» (далее – агентство), связанные с несоблюдением порядка предоставления и составления отчёта конкурсного управляющего. Определением Арбитражного суда Рязанской области от 11.03.2021, оставленным без изменения постановлениями Двадцатого арбитражного апелляционного суда от 19.05.2021 и Арбитражного суда Центрального округа от 24.08.2021, отказано в удовлетворении жалобы.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143 и 184.4.1 Федерального закона от 26.10.2002 № 127-ФЗ «О несостоятельности (банкротстве)», исходили из отсутствия оснований для удовлетворения заявления ввиду недоказанности наличия в действиях (бездействии) агентства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бесконтрольном расходовании средств конкурсной массы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учредителей (участников) общества с ограниченной ответственностью Муниципальная страховая компания «СТРАЖ» им. С. Живаго» Гущину Сергею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